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="240" w:lineRule="auto"/>
        <w:jc w:val="center"/>
        <w:rPr>
          <w:rFonts w:ascii="Encode Sans" w:cs="Encode Sans" w:eastAsia="Encode Sans" w:hAnsi="Encode Sans"/>
          <w:b w:val="1"/>
          <w:sz w:val="36"/>
          <w:szCs w:val="36"/>
        </w:rPr>
      </w:pPr>
      <w:bookmarkStart w:colFirst="0" w:colLast="0" w:name="_zbqnliy74vtr" w:id="0"/>
      <w:bookmarkEnd w:id="0"/>
      <w:r w:rsidDel="00000000" w:rsidR="00000000" w:rsidRPr="00000000">
        <w:rPr>
          <w:rFonts w:ascii="Encode Sans" w:cs="Encode Sans" w:eastAsia="Encode Sans" w:hAnsi="Encode Sans"/>
          <w:b w:val="1"/>
          <w:sz w:val="36"/>
          <w:szCs w:val="36"/>
          <w:rtl w:val="0"/>
        </w:rPr>
        <w:t xml:space="preserve">Family deliberation and discussions: What “Should We” do?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are nearing the end of a Seasonal Storyline investigation and are getting ready to make a decision about your family’s  “Should We” question! Use the chart on the next page to guide your family’s deliberations and discussions.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can discuss what you learned in your investigations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as well as which aspects of this decision are important to your family and why. 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7650"/>
        <w:tblGridChange w:id="0">
          <w:tblGrid>
            <w:gridCol w:w="5310"/>
            <w:gridCol w:w="7650"/>
          </w:tblGrid>
        </w:tblGridChange>
      </w:tblGrid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Why is this “Should We” question important to our family and our community? What are you hoping the decision will accomplish?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What o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ptions are we considering?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Option 1: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Reason for considering Option 1: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Option 2: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Reason for considering Option 2: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What is our decision?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We should ____________________________________________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This decision is supported by these 3 pieces of evidence: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Evidence from our outdoor investigations: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Evidence from our community interviews: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Evidence from other research we have done: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Family and community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values that are guiding our decision: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Who else’s perspectives have we </w:t>
              <w:br w:type="textWrapping"/>
              <w:t xml:space="preserve">taken into account?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Perspectives that we’re taking into account:</w:t>
            </w:r>
          </w:p>
        </w:tc>
      </w:tr>
      <w:tr>
        <w:trPr>
          <w:trHeight w:val="12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Perspectives that we’re still missing:</w:t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How are taking the places we live into account when we make our decision?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The places we live are important in this decision because…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How could our decision change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our lives-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-now or in the future?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This decision changes our lives now because...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This decision changes our lives in the future because…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Who else does this decision affect?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This decision affects the more-than-humans in this place because: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This decision does NOT benefit: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This decision affects other people because: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Connection to Power and Historicity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Who has the power to support our decision and help us act on it?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Who has the power to prevent us from acting on our decision?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How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might our decisions change the way things are in our community and the places we live?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What should we do differently now based on the decision we just made?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We should...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What questions do we want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to investigate next?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Encode Sans" w:cs="Encode Sans" w:eastAsia="Encode Sans" w:hAnsi="Encod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widowControl w:val="0"/>
      <w:spacing w:line="240" w:lineRule="auto"/>
      <w:rPr>
        <w:rFonts w:ascii="Georgia" w:cs="Georgia" w:eastAsia="Georgia" w:hAnsi="Georgia"/>
        <w:sz w:val="24"/>
        <w:szCs w:val="24"/>
        <w:highlight w:val="white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sz w:val="28"/>
        <w:szCs w:val="28"/>
      </w:rPr>
      <w:drawing>
        <wp:inline distB="19050" distT="19050" distL="19050" distR="19050">
          <wp:extent cx="353490" cy="35242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3490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8"/>
        <w:szCs w:val="28"/>
      </w:rPr>
      <w:drawing>
        <wp:inline distB="19050" distT="19050" distL="19050" distR="19050">
          <wp:extent cx="828675" cy="4667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466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color w:val="666666"/>
        <w:sz w:val="20"/>
        <w:szCs w:val="20"/>
        <w:rtl w:val="0"/>
      </w:rPr>
      <w:t xml:space="preserve">Learning in Places is funded by NSF grant #1720578. Not for distribution without attribution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widowControl w:val="0"/>
      <w:spacing w:line="240" w:lineRule="auto"/>
      <w:jc w:val="right"/>
      <w:rPr>
        <w:rFonts w:ascii="Georgia" w:cs="Georgia" w:eastAsia="Georgia" w:hAnsi="Georgia"/>
        <w:sz w:val="24"/>
        <w:szCs w:val="24"/>
        <w:highlight w:val="white"/>
      </w:rPr>
    </w:pPr>
    <w:r w:rsidDel="00000000" w:rsidR="00000000" w:rsidRPr="00000000">
      <w:rPr>
        <w:rFonts w:ascii="Georgia" w:cs="Georgia" w:eastAsia="Georgia" w:hAnsi="Georgia"/>
        <w:sz w:val="24"/>
        <w:szCs w:val="24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161925</wp:posOffset>
          </wp:positionV>
          <wp:extent cx="768096" cy="629185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  <w:tab/>
      <w:t xml:space="preserve">LE10.A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