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sz w:val="36"/>
          <w:szCs w:val="36"/>
        </w:rPr>
      </w:pPr>
      <w:bookmarkStart w:colFirst="0" w:colLast="0" w:name="_z0mw78ltgt6j" w:id="0"/>
      <w:bookmarkEnd w:id="0"/>
      <w:r w:rsidDel="00000000" w:rsidR="00000000" w:rsidRPr="00000000">
        <w:rPr>
          <w:sz w:val="36"/>
          <w:szCs w:val="36"/>
          <w:rtl w:val="0"/>
        </w:rPr>
        <w:t xml:space="preserve">LE10.1b</w:t>
      </w:r>
      <w:r w:rsidDel="00000000" w:rsidR="00000000" w:rsidRPr="00000000">
        <w:rPr>
          <w:sz w:val="36"/>
          <w:szCs w:val="36"/>
          <w:rtl w:val="0"/>
        </w:rPr>
        <w:t xml:space="preserve"> Time to Decide and Take Action! </w:t>
      </w:r>
    </w:p>
    <w:p w:rsidR="00000000" w:rsidDel="00000000" w:rsidP="00000000" w:rsidRDefault="00000000" w:rsidRPr="00000000" w14:paraId="00000002">
      <w:pPr>
        <w:pageBreakBefore w:val="0"/>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03">
      <w:pPr>
        <w:pageBreakBefore w:val="0"/>
        <w:rPr>
          <w:rFonts w:ascii="Encode Sans" w:cs="Encode Sans" w:eastAsia="Encode Sans" w:hAnsi="Encode Sans"/>
        </w:rPr>
      </w:pPr>
      <w:r w:rsidDel="00000000" w:rsidR="00000000" w:rsidRPr="00000000">
        <w:rPr>
          <w:rFonts w:ascii="Encode Sans" w:cs="Encode Sans" w:eastAsia="Encode Sans" w:hAnsi="Encode Sans"/>
          <w:rtl w:val="0"/>
        </w:rPr>
        <w:t xml:space="preserve">You’ve worked so hard on making a decision around your “Should We” question that now it’s time to share with others about what you’ve found, what your decision around your “Should We” question is (for now), and what you think we should do!  This chart was one that you filled out with your families. will help you think through your final sharing and keep track of all of the ideas and evidence  that you’ve collected. </w:t>
      </w:r>
    </w:p>
    <w:p w:rsidR="00000000" w:rsidDel="00000000" w:rsidP="00000000" w:rsidRDefault="00000000" w:rsidRPr="00000000" w14:paraId="00000004">
      <w:pPr>
        <w:pageBreakBefore w:val="0"/>
        <w:rPr>
          <w:rFonts w:ascii="Encode Sans" w:cs="Encode Sans" w:eastAsia="Encode Sans" w:hAnsi="Encode Sans"/>
          <w:b w:val="1"/>
        </w:rPr>
      </w:pPr>
      <w:r w:rsidDel="00000000" w:rsidR="00000000" w:rsidRPr="00000000">
        <w:rPr>
          <w:rtl w:val="0"/>
        </w:rPr>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10"/>
        <w:gridCol w:w="7650"/>
        <w:tblGridChange w:id="0">
          <w:tblGrid>
            <w:gridCol w:w="5310"/>
            <w:gridCol w:w="76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numPr>
                <w:ilvl w:val="0"/>
                <w:numId w:val="2"/>
              </w:numPr>
              <w:spacing w:line="240" w:lineRule="auto"/>
              <w:ind w:left="720" w:hanging="360"/>
              <w:rPr>
                <w:rFonts w:ascii="Encode Sans" w:cs="Encode Sans" w:eastAsia="Encode Sans" w:hAnsi="Encode Sans"/>
              </w:rPr>
            </w:pPr>
            <w:r w:rsidDel="00000000" w:rsidR="00000000" w:rsidRPr="00000000">
              <w:rPr>
                <w:rFonts w:ascii="Encode Sans" w:cs="Encode Sans" w:eastAsia="Encode Sans" w:hAnsi="Encode Sans"/>
                <w:b w:val="1"/>
                <w:rtl w:val="0"/>
              </w:rPr>
              <w:t xml:space="preserve">Why was this “Should We” question important to our families and our communities?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numPr>
                <w:ilvl w:val="0"/>
                <w:numId w:val="3"/>
              </w:numPr>
              <w:spacing w:line="240" w:lineRule="auto"/>
              <w:ind w:left="720" w:hanging="360"/>
              <w:rPr>
                <w:rFonts w:ascii="Encode Sans" w:cs="Encode Sans" w:eastAsia="Encode Sans" w:hAnsi="Encode Sans"/>
              </w:rPr>
            </w:pPr>
            <w:r w:rsidDel="00000000" w:rsidR="00000000" w:rsidRPr="00000000">
              <w:rPr>
                <w:rFonts w:ascii="Encode Sans" w:cs="Encode Sans" w:eastAsia="Encode Sans" w:hAnsi="Encode Sans"/>
                <w:b w:val="1"/>
                <w:rtl w:val="0"/>
              </w:rPr>
              <w:t xml:space="preserve">What options are we considering?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Option 1:</w:t>
            </w:r>
          </w:p>
          <w:p w:rsidR="00000000" w:rsidDel="00000000" w:rsidP="00000000" w:rsidRDefault="00000000" w:rsidRPr="00000000" w14:paraId="00000009">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0A">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0B">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Option 2:</w:t>
            </w:r>
          </w:p>
          <w:p w:rsidR="00000000" w:rsidDel="00000000" w:rsidP="00000000" w:rsidRDefault="00000000" w:rsidRPr="00000000" w14:paraId="0000000C">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0E">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rHeight w:val="1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What is our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We should ____________________________________________</w:t>
            </w:r>
          </w:p>
          <w:p w:rsidR="00000000" w:rsidDel="00000000" w:rsidP="00000000" w:rsidRDefault="00000000" w:rsidRPr="00000000" w14:paraId="00000011">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This is supported by these 3 pieces of evidence:</w:t>
            </w:r>
          </w:p>
          <w:p w:rsidR="00000000" w:rsidDel="00000000" w:rsidP="00000000" w:rsidRDefault="00000000" w:rsidRPr="00000000" w14:paraId="00000013">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14">
            <w:pPr>
              <w:pageBreakBefore w:val="0"/>
              <w:widowControl w:val="0"/>
              <w:numPr>
                <w:ilvl w:val="0"/>
                <w:numId w:val="1"/>
              </w:numPr>
              <w:spacing w:line="240" w:lineRule="auto"/>
              <w:ind w:left="720" w:hanging="360"/>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Evidence from my outdoor investigations at home and school:</w:t>
            </w:r>
          </w:p>
          <w:p w:rsidR="00000000" w:rsidDel="00000000" w:rsidP="00000000" w:rsidRDefault="00000000" w:rsidRPr="00000000" w14:paraId="00000015">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17">
            <w:pPr>
              <w:pageBreakBefore w:val="0"/>
              <w:widowControl w:val="0"/>
              <w:numPr>
                <w:ilvl w:val="0"/>
                <w:numId w:val="1"/>
              </w:numPr>
              <w:spacing w:line="240" w:lineRule="auto"/>
              <w:ind w:left="720" w:hanging="360"/>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Evidence from my community interviews:</w:t>
            </w:r>
          </w:p>
          <w:p w:rsidR="00000000" w:rsidDel="00000000" w:rsidP="00000000" w:rsidRDefault="00000000" w:rsidRPr="00000000" w14:paraId="00000018">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19">
            <w:pPr>
              <w:pageBreakBefore w:val="0"/>
              <w:widowControl w:val="0"/>
              <w:spacing w:line="240" w:lineRule="auto"/>
              <w:ind w:left="720" w:firstLine="0"/>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1A">
            <w:pPr>
              <w:pageBreakBefore w:val="0"/>
              <w:widowControl w:val="0"/>
              <w:numPr>
                <w:ilvl w:val="0"/>
                <w:numId w:val="1"/>
              </w:numPr>
              <w:spacing w:line="240" w:lineRule="auto"/>
              <w:ind w:left="720" w:hanging="360"/>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Evidence from other research:</w:t>
            </w:r>
          </w:p>
          <w:p w:rsidR="00000000" w:rsidDel="00000000" w:rsidP="00000000" w:rsidRDefault="00000000" w:rsidRPr="00000000" w14:paraId="0000001B">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1C">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1D">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1E">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Values that are guiding our decision:</w:t>
            </w:r>
          </w:p>
          <w:p w:rsidR="00000000" w:rsidDel="00000000" w:rsidP="00000000" w:rsidRDefault="00000000" w:rsidRPr="00000000" w14:paraId="0000001F">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0">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1">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2">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3">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4">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5">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rHeight w:val="1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What action should we take now?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We should...</w:t>
            </w:r>
          </w:p>
          <w:p w:rsidR="00000000" w:rsidDel="00000000" w:rsidP="00000000" w:rsidRDefault="00000000" w:rsidRPr="00000000" w14:paraId="00000028">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B">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1">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2">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How are we thinking about the places we live when we make our decision?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The places we live are important in this decision because…</w:t>
            </w:r>
          </w:p>
          <w:p w:rsidR="00000000" w:rsidDel="00000000" w:rsidP="00000000" w:rsidRDefault="00000000" w:rsidRPr="00000000" w14:paraId="00000035">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7">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9">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B">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3D">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How does our decision change our lives--now or in the future?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This decision changes our lives now because…</w:t>
            </w:r>
          </w:p>
          <w:p w:rsidR="00000000" w:rsidDel="00000000" w:rsidP="00000000" w:rsidRDefault="00000000" w:rsidRPr="00000000" w14:paraId="00000040">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1">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2">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rFonts w:ascii="Encode Sans" w:cs="Encode Sans" w:eastAsia="Encode Sans" w:hAnsi="Encode San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This decision changes our lives in the future because…</w:t>
            </w:r>
          </w:p>
          <w:p w:rsidR="00000000" w:rsidDel="00000000" w:rsidP="00000000" w:rsidRDefault="00000000" w:rsidRPr="00000000" w14:paraId="00000046">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7">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8">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Who does this decision affect?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This decision affects the more-than-humans in this place because:</w:t>
            </w:r>
          </w:p>
          <w:p w:rsidR="00000000" w:rsidDel="00000000" w:rsidP="00000000" w:rsidRDefault="00000000" w:rsidRPr="00000000" w14:paraId="0000004D">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E">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4F">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50">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code Sans" w:cs="Encode Sans" w:eastAsia="Encode Sans" w:hAnsi="Encode San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This decision does NOT benefit:</w:t>
            </w:r>
          </w:p>
          <w:p w:rsidR="00000000" w:rsidDel="00000000" w:rsidP="00000000" w:rsidRDefault="00000000" w:rsidRPr="00000000" w14:paraId="00000053">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54">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55">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Encode Sans" w:cs="Encode Sans" w:eastAsia="Encode Sans" w:hAnsi="Encode San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This decision affects our family because:</w:t>
            </w:r>
          </w:p>
          <w:p w:rsidR="00000000" w:rsidDel="00000000" w:rsidP="00000000" w:rsidRDefault="00000000" w:rsidRPr="00000000" w14:paraId="00000058">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59">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5A">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5B">
            <w:pPr>
              <w:pageBreakBefore w:val="0"/>
              <w:widowControl w:val="0"/>
              <w:spacing w:line="240" w:lineRule="auto"/>
              <w:rPr>
                <w:rFonts w:ascii="Encode Sans" w:cs="Encode Sans" w:eastAsia="Encode Sans" w:hAnsi="Encode Sans"/>
                <w:b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What questions do we want to investigate next?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5E">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5F">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0">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1">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2">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3">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4">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5">
            <w:pPr>
              <w:pageBreakBefore w:val="0"/>
              <w:widowControl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6">
            <w:pPr>
              <w:pageBreakBefore w:val="0"/>
              <w:widowControl w:val="0"/>
              <w:spacing w:line="240" w:lineRule="auto"/>
              <w:rPr>
                <w:rFonts w:ascii="Encode Sans" w:cs="Encode Sans" w:eastAsia="Encode Sans" w:hAnsi="Encode Sans"/>
                <w:b w:val="1"/>
              </w:rPr>
            </w:pPr>
            <w:r w:rsidDel="00000000" w:rsidR="00000000" w:rsidRPr="00000000">
              <w:rPr>
                <w:rtl w:val="0"/>
              </w:rPr>
            </w:r>
          </w:p>
        </w:tc>
      </w:tr>
    </w:tbl>
    <w:p w:rsidR="00000000" w:rsidDel="00000000" w:rsidP="00000000" w:rsidRDefault="00000000" w:rsidRPr="00000000" w14:paraId="00000067">
      <w:pPr>
        <w:pageBreakBefore w:val="0"/>
        <w:rPr>
          <w:rFonts w:ascii="Encode Sans" w:cs="Encode Sans" w:eastAsia="Encode Sans" w:hAnsi="Encode Sans"/>
        </w:rPr>
      </w:pPr>
      <w:r w:rsidDel="00000000" w:rsidR="00000000" w:rsidRPr="00000000">
        <w:rPr>
          <w:rtl w:val="0"/>
        </w:rPr>
      </w:r>
    </w:p>
    <w:sectPr>
      <w:headerReference r:id="rId6" w:type="default"/>
      <w:footerReference r:id="rId7" w:type="default"/>
      <w:pgSz w:h="12240" w:w="15840" w:orient="landscape"/>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Encode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widowControl w:val="0"/>
      <w:spacing w:line="240" w:lineRule="auto"/>
      <w:rPr>
        <w:rFonts w:ascii="Calibri" w:cs="Calibri" w:eastAsia="Calibri" w:hAnsi="Calibri"/>
        <w:b w:val="1"/>
        <w:i w:val="1"/>
        <w:sz w:val="18"/>
        <w:szCs w:val="18"/>
      </w:rPr>
    </w:pPr>
    <w:r w:rsidDel="00000000" w:rsidR="00000000" w:rsidRPr="00000000">
      <w:rPr>
        <w:color w:val="666666"/>
        <w:sz w:val="20"/>
        <w:szCs w:val="20"/>
        <w:rtl w:val="0"/>
      </w:rPr>
      <w:t xml:space="preserve"> </w:t>
    </w:r>
    <w:r w:rsidDel="00000000" w:rsidR="00000000" w:rsidRPr="00000000">
      <w:rPr>
        <w:sz w:val="28"/>
        <w:szCs w:val="28"/>
      </w:rPr>
      <w:drawing>
        <wp:inline distB="19050" distT="19050" distL="19050" distR="19050">
          <wp:extent cx="352425" cy="3524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2425" cy="352425"/>
                  </a:xfrm>
                  <a:prstGeom prst="rect"/>
                  <a:ln/>
                </pic:spPr>
              </pic:pic>
            </a:graphicData>
          </a:graphic>
        </wp:inline>
      </w:drawing>
    </w:r>
    <w:r w:rsidDel="00000000" w:rsidR="00000000" w:rsidRPr="00000000">
      <w:rPr>
        <w:sz w:val="28"/>
        <w:szCs w:val="28"/>
      </w:rPr>
      <w:drawing>
        <wp:inline distB="19050" distT="19050" distL="19050" distR="19050">
          <wp:extent cx="828675" cy="466725"/>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28675" cy="466725"/>
                  </a:xfrm>
                  <a:prstGeom prst="rect"/>
                  <a:ln/>
                </pic:spPr>
              </pic:pic>
            </a:graphicData>
          </a:graphic>
        </wp:inline>
      </w:drawing>
    </w:r>
    <w:r w:rsidDel="00000000" w:rsidR="00000000" w:rsidRPr="00000000">
      <w:rPr>
        <w:sz w:val="28"/>
        <w:szCs w:val="28"/>
        <w:rtl w:val="0"/>
      </w:rPr>
      <w:t xml:space="preserve"> </w:t>
    </w:r>
    <w:r w:rsidDel="00000000" w:rsidR="00000000" w:rsidRPr="00000000">
      <w:rPr>
        <w:color w:val="666666"/>
        <w:sz w:val="20"/>
        <w:szCs w:val="20"/>
        <w:rtl w:val="0"/>
      </w:rPr>
      <w:t xml:space="preserve">Learning in Places is funded by NSF grant #1720578. Not for distribution without citation</w:t>
    </w:r>
    <w:r w:rsidDel="00000000" w:rsidR="00000000" w:rsidRPr="00000000">
      <w:rPr>
        <w:rFonts w:ascii="Calibri" w:cs="Calibri" w:eastAsia="Calibri" w:hAnsi="Calibri"/>
        <w:b w:val="1"/>
        <w:i w:val="1"/>
        <w:sz w:val="18"/>
        <w:szCs w:val="18"/>
        <w:rtl w:val="0"/>
      </w:rPr>
      <w:t xml:space="preserve"> </w:t>
    </w:r>
  </w:p>
  <w:p w:rsidR="00000000" w:rsidDel="00000000" w:rsidP="00000000" w:rsidRDefault="00000000" w:rsidRPr="00000000" w14:paraId="00000069">
    <w:pPr>
      <w:pageBreakBefore w:val="0"/>
      <w:widowControl w:val="0"/>
      <w:spacing w:line="240" w:lineRule="auto"/>
      <w:jc w:val="right"/>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rPr/>
    </w:pPr>
    <w:r w:rsidDel="00000000" w:rsidR="00000000" w:rsidRPr="00000000">
      <w:rPr>
        <w:rtl w:val="0"/>
      </w:rPr>
      <w:t xml:space="preserve">LE 10.1b: Student tool: Time to Decide and take Action!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